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Березовского 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Березовского 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Березовского 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w:t>
      </w:r>
      <w:r w:rsidR="00832E1F" w:rsidRPr="00113309">
        <w:rPr>
          <w:b/>
          <w:sz w:val="28"/>
          <w:szCs w:val="28"/>
        </w:rPr>
        <w:t>рования Березовского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Березовского сельсовета Красноярского края</w:t>
      </w:r>
    </w:p>
    <w:p w:rsidR="001B0206" w:rsidRPr="00113309" w:rsidRDefault="001B0206" w:rsidP="001B0206">
      <w:pPr>
        <w:jc w:val="center"/>
        <w:rPr>
          <w:b/>
          <w:sz w:val="20"/>
          <w:szCs w:val="20"/>
          <w:lang/>
        </w:rPr>
      </w:pPr>
      <w:r w:rsidRPr="00113309">
        <w:rPr>
          <w:b/>
          <w:sz w:val="28"/>
          <w:szCs w:val="28"/>
        </w:rPr>
        <w:t>Березовского сельсовета Красноярского края</w:t>
      </w:r>
    </w:p>
    <w:p w:rsidR="001B0206" w:rsidRPr="00113309" w:rsidRDefault="001B0206" w:rsidP="001B0206">
      <w:pPr>
        <w:jc w:val="center"/>
        <w:rPr>
          <w:b/>
          <w:sz w:val="20"/>
          <w:szCs w:val="20"/>
          <w:lang/>
        </w:rPr>
      </w:pPr>
      <w:r w:rsidRPr="00113309">
        <w:rPr>
          <w:b/>
          <w:sz w:val="28"/>
          <w:szCs w:val="28"/>
        </w:rPr>
        <w:t>Березовского сельсовета Красноярского края</w:t>
      </w:r>
    </w:p>
    <w:p w:rsidR="001B0206" w:rsidRPr="00113309" w:rsidRDefault="001B0206" w:rsidP="001B0206">
      <w:pPr>
        <w:jc w:val="center"/>
        <w:rPr>
          <w:b/>
          <w:sz w:val="20"/>
          <w:szCs w:val="20"/>
          <w:lang/>
        </w:rPr>
      </w:pPr>
      <w:r w:rsidRPr="00113309">
        <w:rPr>
          <w:b/>
          <w:sz w:val="28"/>
          <w:szCs w:val="28"/>
        </w:rPr>
        <w:t>Березовского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w:t>
      </w:r>
      <w:r w:rsidRPr="00113309">
        <w:lastRenderedPageBreak/>
        <w:t>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lastRenderedPageBreak/>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lastRenderedPageBreak/>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lastRenderedPageBreak/>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w:t>
      </w:r>
      <w:r w:rsidRPr="00113309">
        <w:lastRenderedPageBreak/>
        <w:t>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lastRenderedPageBreak/>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lastRenderedPageBreak/>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lastRenderedPageBreak/>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lastRenderedPageBreak/>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lastRenderedPageBreak/>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lastRenderedPageBreak/>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lastRenderedPageBreak/>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lastRenderedPageBreak/>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lastRenderedPageBreak/>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lastRenderedPageBreak/>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lastRenderedPageBreak/>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lastRenderedPageBreak/>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Большеулуйский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360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50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Курагинский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40</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9</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rPr>
              <w:t>35</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Шарыповский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38</w:t>
            </w:r>
            <w:r w:rsidRPr="00113309">
              <w:rPr>
                <w:sz w:val="20"/>
                <w:szCs w:val="20"/>
                <w:lang w:val="en-US"/>
              </w:rPr>
              <w:t>5</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65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50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lastRenderedPageBreak/>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lastRenderedPageBreak/>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113309" w:rsidRDefault="00A621BA" w:rsidP="00A621BA">
      <w:pPr>
        <w:pStyle w:val="a6"/>
      </w:pPr>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w:t>
      </w:r>
      <w:r w:rsidRPr="00113309">
        <w:lastRenderedPageBreak/>
        <w:t>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lastRenderedPageBreak/>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lastRenderedPageBreak/>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rsidRPr="00113309">
        <w:lastRenderedPageBreak/>
        <w:t>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lastRenderedPageBreak/>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w:t>
      </w:r>
      <w:r w:rsidRPr="00113309">
        <w:lastRenderedPageBreak/>
        <w:t xml:space="preserve">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lastRenderedPageBreak/>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lastRenderedPageBreak/>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w:t>
      </w:r>
      <w:r w:rsidRPr="00113309">
        <w:lastRenderedPageBreak/>
        <w:t>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lastRenderedPageBreak/>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lastRenderedPageBreak/>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 xml:space="preserve">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w:t>
            </w:r>
            <w:r w:rsidRPr="00113309">
              <w:rPr>
                <w:sz w:val="20"/>
                <w:szCs w:val="20"/>
              </w:rPr>
              <w:lastRenderedPageBreak/>
              <w:t>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lastRenderedPageBreak/>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 xml:space="preserve">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w:t>
      </w:r>
      <w:r w:rsidRPr="00113309">
        <w:lastRenderedPageBreak/>
        <w:t>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w:t>
      </w:r>
      <w:r w:rsidRPr="00113309">
        <w:lastRenderedPageBreak/>
        <w:t>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113309">
        <w:lastRenderedPageBreak/>
        <w:t>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w:t>
      </w:r>
      <w:r w:rsidRPr="00113309">
        <w:lastRenderedPageBreak/>
        <w:t>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lastRenderedPageBreak/>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lastRenderedPageBreak/>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lastRenderedPageBreak/>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w:t>
      </w:r>
      <w:r w:rsidRPr="00113309">
        <w:lastRenderedPageBreak/>
        <w:t>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r w:rsidR="00AB2AA9" w:rsidRPr="00113309" w:rsidTr="00D2090D">
        <w:trPr>
          <w:trHeight w:val="57"/>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AB2AA9" w:rsidRPr="00113309" w:rsidRDefault="00AB2AA9" w:rsidP="00D2090D">
            <w:pPr>
              <w:rPr>
                <w:sz w:val="20"/>
                <w:szCs w:val="20"/>
              </w:rPr>
            </w:pPr>
            <w:r w:rsidRPr="00113309">
              <w:rPr>
                <w:sz w:val="20"/>
                <w:szCs w:val="20"/>
              </w:rPr>
              <w:t>Большеулуйский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838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1233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858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1190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0.79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B2AA9" w:rsidRPr="00113309" w:rsidRDefault="00AB2AA9" w:rsidP="00D2090D">
            <w:pPr>
              <w:rPr>
                <w:sz w:val="20"/>
                <w:szCs w:val="20"/>
              </w:rPr>
            </w:pPr>
            <w:r w:rsidRPr="00113309">
              <w:rPr>
                <w:sz w:val="20"/>
                <w:szCs w:val="20"/>
              </w:rPr>
              <w:t>1.25</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Курагинский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7931</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8.6</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9934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7433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8.28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9934</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Шарыповский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2500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2.761</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3001</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15385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17.186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18456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0.91</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lastRenderedPageBreak/>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lastRenderedPageBreak/>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DCD" w:rsidRDefault="003A2DCD">
      <w:r>
        <w:separator/>
      </w:r>
    </w:p>
    <w:p w:rsidR="003A2DCD" w:rsidRDefault="003A2DCD"/>
  </w:endnote>
  <w:endnote w:type="continuationSeparator" w:id="1">
    <w:p w:rsidR="003A2DCD" w:rsidRDefault="003A2DCD">
      <w:r>
        <w:continuationSeparator/>
      </w:r>
    </w:p>
    <w:p w:rsidR="003A2DCD" w:rsidRDefault="003A2D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61572" w:rsidRPr="00B61572">
      <w:rPr>
        <w:rFonts w:ascii="Times New Roman" w:hAnsi="Times New Roman"/>
        <w:noProof/>
        <w:sz w:val="22"/>
        <w:szCs w:val="22"/>
        <w:lang w:val="de-DE"/>
      </w:rPr>
      <w:t>4</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44B12" w:rsidRPr="00A44B12">
      <w:rPr>
        <w:rFonts w:ascii="Times New Roman" w:hAnsi="Times New Roman"/>
        <w:noProof/>
        <w:sz w:val="22"/>
        <w:szCs w:val="22"/>
        <w:lang w:val="de-DE"/>
      </w:rPr>
      <w:t>71</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44B12" w:rsidRPr="00A44B12">
      <w:rPr>
        <w:rFonts w:ascii="Times New Roman" w:hAnsi="Times New Roman"/>
        <w:noProof/>
        <w:sz w:val="22"/>
        <w:szCs w:val="22"/>
        <w:lang w:val="de-DE"/>
      </w:rPr>
      <w:t>131</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44B12" w:rsidRPr="00A44B12">
      <w:rPr>
        <w:rFonts w:ascii="Times New Roman" w:hAnsi="Times New Roman"/>
        <w:noProof/>
        <w:sz w:val="22"/>
        <w:szCs w:val="22"/>
        <w:lang w:val="de-DE"/>
      </w:rPr>
      <w:t>133</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44B12" w:rsidRPr="00A44B12">
      <w:rPr>
        <w:rFonts w:ascii="Times New Roman" w:hAnsi="Times New Roman"/>
        <w:noProof/>
        <w:sz w:val="22"/>
        <w:szCs w:val="22"/>
        <w:lang w:val="de-DE"/>
      </w:rPr>
      <w:t>154</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DCD" w:rsidRDefault="003A2DCD">
      <w:r>
        <w:separator/>
      </w:r>
    </w:p>
    <w:p w:rsidR="003A2DCD" w:rsidRDefault="003A2DCD"/>
  </w:footnote>
  <w:footnote w:type="continuationSeparator" w:id="1">
    <w:p w:rsidR="003A2DCD" w:rsidRDefault="003A2DCD">
      <w:r>
        <w:continuationSeparator/>
      </w:r>
    </w:p>
    <w:p w:rsidR="003A2DCD" w:rsidRDefault="003A2DCD"/>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2DCD"/>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4B12"/>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572"/>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58408</Words>
  <Characters>332932</Characters>
  <Application>Microsoft Office Word</Application>
  <DocSecurity>0</DocSecurity>
  <Lines>2774</Lines>
  <Paragraphs>781</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390559</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2015-01-16T02:00:00Z</dcterms:created>
  <dcterms:modified xsi:type="dcterms:W3CDTF">2015-01-16T02:16:00Z</dcterms:modified>
</cp:coreProperties>
</file>