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Хандальского</w:t>
      </w:r>
      <w:r w:rsidRPr="00113309">
        <w:rPr>
          <w:b/>
          <w:sz w:val="20"/>
          <w:szCs w:val="20"/>
          <w:lang/>
        </w:rPr>
        <w:t xml:space="preserve"> </w:t>
      </w:r>
      <w:r w:rsidRPr="00113309">
        <w:rPr>
          <w:b/>
          <w:sz w:val="28"/>
          <w:szCs w:val="28"/>
        </w:rPr>
        <w:t>сельсовета</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Хандальского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Хандальского сельсовета Красноярского края</w:t>
      </w:r>
    </w:p>
    <w:p w:rsidR="001B0206" w:rsidRPr="00113309" w:rsidRDefault="001B0206" w:rsidP="001B0206">
      <w:pPr>
        <w:jc w:val="center"/>
        <w:rPr>
          <w:b/>
          <w:sz w:val="20"/>
          <w:szCs w:val="20"/>
          <w:lang/>
        </w:rPr>
      </w:pPr>
      <w:r w:rsidRPr="00113309">
        <w:rPr>
          <w:b/>
          <w:sz w:val="28"/>
          <w:szCs w:val="28"/>
        </w:rPr>
        <w:t>Хандальского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Тасеевский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49</w:t>
            </w:r>
            <w:r w:rsidRPr="00113309">
              <w:rPr>
                <w:sz w:val="20"/>
                <w:szCs w:val="20"/>
                <w:lang w:val="en-US"/>
              </w:rPr>
              <w:t>5</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170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rPr>
              <w:t>4</w:t>
            </w:r>
            <w:r w:rsidRPr="00113309">
              <w:rPr>
                <w:sz w:val="20"/>
                <w:szCs w:val="20"/>
                <w:lang w:val="en-US"/>
              </w:rPr>
              <w:t>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lastRenderedPageBreak/>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lastRenderedPageBreak/>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Тасеевский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2116</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2.43</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2502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2561</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8DA" w:rsidRDefault="00B728DA">
      <w:r>
        <w:separator/>
      </w:r>
    </w:p>
    <w:p w:rsidR="00B728DA" w:rsidRDefault="00B728DA"/>
  </w:endnote>
  <w:endnote w:type="continuationSeparator" w:id="1">
    <w:p w:rsidR="00B728DA" w:rsidRDefault="00B728DA">
      <w:r>
        <w:continuationSeparator/>
      </w:r>
    </w:p>
    <w:p w:rsidR="00B728DA" w:rsidRDefault="00B728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00834" w:rsidRPr="00700834">
      <w:rPr>
        <w:rFonts w:ascii="Times New Roman" w:hAnsi="Times New Roman"/>
        <w:noProof/>
        <w:sz w:val="22"/>
        <w:szCs w:val="22"/>
        <w:lang w:val="de-DE"/>
      </w:rPr>
      <w:t>4</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00834" w:rsidRPr="00700834">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00834" w:rsidRPr="00700834">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8DA" w:rsidRDefault="00B728DA">
      <w:r>
        <w:separator/>
      </w:r>
    </w:p>
    <w:p w:rsidR="00B728DA" w:rsidRDefault="00B728DA"/>
  </w:footnote>
  <w:footnote w:type="continuationSeparator" w:id="1">
    <w:p w:rsidR="00B728DA" w:rsidRDefault="00B728DA">
      <w:r>
        <w:continuationSeparator/>
      </w:r>
    </w:p>
    <w:p w:rsidR="00B728DA" w:rsidRDefault="00B728DA"/>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834"/>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8DA"/>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262</Pages>
  <Words>58238</Words>
  <Characters>331963</Characters>
  <Application>Microsoft Office Word</Application>
  <DocSecurity>0</DocSecurity>
  <Lines>2766</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389423</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1</cp:revision>
  <cp:lastPrinted>2011-12-21T11:36:00Z</cp:lastPrinted>
  <dcterms:created xsi:type="dcterms:W3CDTF">2015-01-16T03:00:00Z</dcterms:created>
  <dcterms:modified xsi:type="dcterms:W3CDTF">2015-01-16T03:10:00Z</dcterms:modified>
</cp:coreProperties>
</file>