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Вознесенского сельсовета</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Вознесенского сельсовета</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Вознесенского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Вознесенского сельсовета Красноярского края</w:t>
      </w:r>
    </w:p>
    <w:p w:rsidR="001B0206" w:rsidRPr="00113309" w:rsidRDefault="001B0206" w:rsidP="001B0206">
      <w:pPr>
        <w:jc w:val="center"/>
        <w:rPr>
          <w:b/>
          <w:sz w:val="20"/>
          <w:szCs w:val="20"/>
          <w:lang/>
        </w:rPr>
      </w:pPr>
      <w:r w:rsidRPr="00113309">
        <w:rPr>
          <w:b/>
          <w:sz w:val="28"/>
          <w:szCs w:val="28"/>
        </w:rPr>
        <w:t>Вознесенского сельсовета Красноярского края</w:t>
      </w:r>
    </w:p>
    <w:p w:rsidR="001B0206" w:rsidRPr="00113309" w:rsidRDefault="001B0206" w:rsidP="001B0206">
      <w:pPr>
        <w:jc w:val="center"/>
        <w:rPr>
          <w:b/>
          <w:sz w:val="20"/>
          <w:szCs w:val="20"/>
          <w:lang/>
        </w:rPr>
      </w:pPr>
      <w:r w:rsidRPr="00113309">
        <w:rPr>
          <w:b/>
          <w:sz w:val="28"/>
          <w:szCs w:val="28"/>
        </w:rPr>
        <w:t>Вознесенского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94"/>
        <w:gridCol w:w="3261"/>
        <w:gridCol w:w="3263"/>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AB2AA9" w:rsidRPr="00113309" w:rsidRDefault="00AB2AA9" w:rsidP="00AB2AA9">
      <w:pPr>
        <w:pStyle w:val="a6"/>
      </w:pPr>
      <w:r w:rsidRPr="00113309">
        <w:t>Размеры земельных участков для размещения газорегуляторных пунктов блочных (ГРПБ) от 13 до 35 кв.метров в зависимости от исполнения.</w:t>
      </w:r>
    </w:p>
    <w:p w:rsidR="00AB2AA9" w:rsidRPr="00113309" w:rsidRDefault="00AB2AA9" w:rsidP="00AB2AA9">
      <w:pPr>
        <w:pStyle w:val="a6"/>
      </w:pPr>
      <w:r w:rsidRPr="00113309">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AB2AA9" w:rsidRPr="00113309" w:rsidRDefault="00AB2AA9" w:rsidP="00AB2AA9">
      <w:pPr>
        <w:pStyle w:val="a6"/>
      </w:pPr>
      <w:r w:rsidRPr="00113309">
        <w:t>Площади Газораспределительных станций определяются рабочим проектом.</w:t>
      </w:r>
    </w:p>
    <w:p w:rsidR="00AB2AA9" w:rsidRPr="00113309" w:rsidRDefault="00AB2AA9" w:rsidP="00AB2AA9">
      <w:pPr>
        <w:pStyle w:val="a6"/>
      </w:pPr>
      <w:r w:rsidRPr="00113309">
        <w:t>Объекты газоснабжения необходимо размещать в соответствии с требованиями действующих нормативно-правовых актов.</w:t>
      </w:r>
    </w:p>
    <w:p w:rsidR="00AB2AA9" w:rsidRPr="00113309" w:rsidRDefault="00AB2AA9" w:rsidP="00AB2AA9">
      <w:pPr>
        <w:pStyle w:val="a6"/>
      </w:pPr>
      <w:r w:rsidRPr="00113309">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113309" w:rsidRDefault="00AB2AA9" w:rsidP="00AB2AA9">
      <w:pPr>
        <w:pStyle w:val="a6"/>
      </w:pPr>
      <w:r w:rsidRPr="00113309">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113309" w:rsidRDefault="00AB2AA9" w:rsidP="00AB2AA9">
      <w:pPr>
        <w:pStyle w:val="a6"/>
      </w:pPr>
      <w:r w:rsidRPr="00113309">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fldSimple w:instr=" REF _Ref364440879 \h  \* MERGEFORMAT ">
        <w:r w:rsidRPr="00113309">
          <w:t xml:space="preserve">Таблица </w:t>
        </w:r>
        <w:r w:rsidRPr="00113309">
          <w:rPr>
            <w:noProof/>
          </w:rPr>
          <w:t>31</w:t>
        </w:r>
      </w:fldSimple>
      <w:r w:rsidRPr="00113309">
        <w:t>).</w:t>
      </w:r>
    </w:p>
    <w:p w:rsidR="00AB2AA9" w:rsidRPr="00113309" w:rsidRDefault="00AB2AA9" w:rsidP="00AB2AA9">
      <w:pPr>
        <w:pStyle w:val="af0"/>
        <w:keepNext/>
        <w:jc w:val="right"/>
      </w:pPr>
      <w:bookmarkStart w:id="172" w:name="_Ref354155783"/>
      <w:bookmarkStart w:id="173" w:name="_Ref364440879"/>
      <w:r w:rsidRPr="00113309">
        <w:t xml:space="preserve">Таблица </w:t>
      </w:r>
      <w:fldSimple w:instr=" SEQ Таблица \* ARABIC ">
        <w:r w:rsidRPr="00113309">
          <w:rPr>
            <w:noProof/>
          </w:rPr>
          <w:t>31</w:t>
        </w:r>
      </w:fldSimple>
      <w:bookmarkEnd w:id="173"/>
    </w:p>
    <w:bookmarkEnd w:id="172"/>
    <w:p w:rsidR="00AB2AA9" w:rsidRPr="00113309" w:rsidRDefault="00AB2AA9" w:rsidP="00AB2AA9">
      <w:pPr>
        <w:pStyle w:val="af2"/>
      </w:pPr>
      <w:r w:rsidRPr="00113309">
        <w:t>Нормативные расстояния при размещении ГРП, ГРПБ, ШРП</w:t>
      </w:r>
    </w:p>
    <w:tbl>
      <w:tblPr>
        <w:tblW w:w="5000" w:type="pct"/>
        <w:tblCellMar>
          <w:left w:w="70" w:type="dxa"/>
          <w:right w:w="70" w:type="dxa"/>
        </w:tblCellMar>
        <w:tblLook w:val="0000"/>
      </w:tblPr>
      <w:tblGrid>
        <w:gridCol w:w="1589"/>
        <w:gridCol w:w="1840"/>
        <w:gridCol w:w="1873"/>
        <w:gridCol w:w="2180"/>
        <w:gridCol w:w="2296"/>
      </w:tblGrid>
      <w:tr w:rsidR="00AB2AA9" w:rsidRPr="00113309"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113309" w:rsidRDefault="00AB2AA9" w:rsidP="00D2090D">
            <w:pPr>
              <w:rPr>
                <w:b/>
                <w:sz w:val="20"/>
                <w:szCs w:val="20"/>
              </w:rPr>
            </w:pPr>
            <w:r w:rsidRPr="00113309">
              <w:rPr>
                <w:b/>
                <w:sz w:val="20"/>
                <w:szCs w:val="20"/>
              </w:rPr>
              <w:t>Давление газа на вводе</w:t>
            </w:r>
          </w:p>
          <w:p w:rsidR="00AB2AA9" w:rsidRPr="00113309" w:rsidRDefault="00AB2AA9" w:rsidP="00D2090D">
            <w:pPr>
              <w:rPr>
                <w:b/>
                <w:sz w:val="20"/>
                <w:szCs w:val="20"/>
              </w:rPr>
            </w:pPr>
            <w:r w:rsidRPr="00113309">
              <w:rPr>
                <w:b/>
                <w:sz w:val="20"/>
                <w:szCs w:val="20"/>
              </w:rPr>
              <w:t>в ГРП, ГРПБ, ШРП,</w:t>
            </w:r>
          </w:p>
          <w:p w:rsidR="00AB2AA9" w:rsidRPr="00113309" w:rsidRDefault="00AB2AA9" w:rsidP="00D2090D">
            <w:pPr>
              <w:rPr>
                <w:sz w:val="20"/>
                <w:szCs w:val="20"/>
              </w:rPr>
            </w:pPr>
            <w:r w:rsidRPr="00113309">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Расстояние в свету от отдельно стоящих ГРП, ГРПБ и ШРП</w:t>
            </w:r>
          </w:p>
          <w:p w:rsidR="00AB2AA9" w:rsidRPr="00113309" w:rsidRDefault="00AB2AA9" w:rsidP="00D2090D">
            <w:pPr>
              <w:rPr>
                <w:b/>
                <w:sz w:val="20"/>
                <w:szCs w:val="20"/>
              </w:rPr>
            </w:pPr>
            <w:r w:rsidRPr="00113309">
              <w:rPr>
                <w:b/>
                <w:sz w:val="20"/>
                <w:szCs w:val="20"/>
              </w:rPr>
              <w:t>по горизонтали, м, до</w:t>
            </w:r>
          </w:p>
        </w:tc>
      </w:tr>
      <w:tr w:rsidR="00AB2AA9" w:rsidRPr="00113309"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ж/д путей</w:t>
            </w:r>
          </w:p>
          <w:p w:rsidR="00AB2AA9" w:rsidRPr="00113309" w:rsidRDefault="00AB2AA9" w:rsidP="00D2090D">
            <w:pPr>
              <w:rPr>
                <w:b/>
                <w:sz w:val="20"/>
                <w:szCs w:val="20"/>
              </w:rPr>
            </w:pPr>
            <w:r w:rsidRPr="00113309">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автомобильных</w:t>
            </w:r>
          </w:p>
          <w:p w:rsidR="00AB2AA9" w:rsidRPr="00113309" w:rsidRDefault="00AB2AA9" w:rsidP="00D2090D">
            <w:pPr>
              <w:rPr>
                <w:b/>
                <w:sz w:val="20"/>
                <w:szCs w:val="20"/>
              </w:rPr>
            </w:pPr>
            <w:r w:rsidRPr="00113309">
              <w:rPr>
                <w:b/>
                <w:sz w:val="20"/>
                <w:szCs w:val="20"/>
              </w:rPr>
              <w:t>дорог</w:t>
            </w:r>
          </w:p>
          <w:p w:rsidR="00AB2AA9" w:rsidRPr="00113309" w:rsidRDefault="00AB2AA9" w:rsidP="00D2090D">
            <w:pPr>
              <w:rPr>
                <w:b/>
                <w:sz w:val="20"/>
                <w:szCs w:val="20"/>
              </w:rPr>
            </w:pPr>
            <w:r w:rsidRPr="00113309">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воздушных линий электропередачи</w:t>
            </w:r>
          </w:p>
        </w:tc>
      </w:tr>
      <w:tr w:rsidR="00AB2AA9"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113309" w:rsidRDefault="00AB2AA9" w:rsidP="00D2090D">
            <w:pPr>
              <w:rPr>
                <w:sz w:val="20"/>
                <w:szCs w:val="20"/>
              </w:rPr>
            </w:pPr>
            <w:r w:rsidRPr="00113309">
              <w:rPr>
                <w:sz w:val="20"/>
                <w:szCs w:val="20"/>
              </w:rPr>
              <w:t xml:space="preserve">не менее 1,5   </w:t>
            </w:r>
            <w:r w:rsidRPr="00113309">
              <w:rPr>
                <w:sz w:val="20"/>
                <w:szCs w:val="20"/>
              </w:rPr>
              <w:br/>
              <w:t>высоты опоры</w:t>
            </w:r>
          </w:p>
        </w:tc>
      </w:tr>
      <w:tr w:rsidR="00AB2AA9"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p>
        </w:tc>
      </w:tr>
    </w:tbl>
    <w:p w:rsidR="00AB2AA9" w:rsidRPr="00113309" w:rsidRDefault="00AB2AA9" w:rsidP="00AB2AA9">
      <w:pPr>
        <w:rPr>
          <w:sz w:val="20"/>
          <w:szCs w:val="20"/>
        </w:rPr>
      </w:pPr>
      <w:r w:rsidRPr="00113309">
        <w:rPr>
          <w:sz w:val="20"/>
          <w:szCs w:val="20"/>
        </w:rPr>
        <w:t>Примечания:</w:t>
      </w:r>
    </w:p>
    <w:p w:rsidR="00AB2AA9" w:rsidRPr="00113309" w:rsidRDefault="00AB2AA9" w:rsidP="00AB2AA9">
      <w:pPr>
        <w:rPr>
          <w:sz w:val="20"/>
          <w:szCs w:val="20"/>
        </w:rPr>
      </w:pPr>
      <w:r w:rsidRPr="00113309">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113309" w:rsidRDefault="00AB2AA9" w:rsidP="00AB2AA9">
      <w:pPr>
        <w:rPr>
          <w:sz w:val="20"/>
          <w:szCs w:val="20"/>
        </w:rPr>
      </w:pPr>
      <w:r w:rsidRPr="00113309">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113309" w:rsidRDefault="00AB2AA9" w:rsidP="00AB2AA9">
      <w:pPr>
        <w:rPr>
          <w:sz w:val="20"/>
          <w:szCs w:val="20"/>
        </w:rPr>
      </w:pPr>
      <w:r w:rsidRPr="00113309">
        <w:rPr>
          <w:sz w:val="20"/>
          <w:szCs w:val="20"/>
        </w:rPr>
        <w:t>3. Расстояние от отдельно стоящего ШРП при давлении газа на вводе до 0,3 МПа до зданий и сооружений не нормируется.</w:t>
      </w:r>
    </w:p>
    <w:p w:rsidR="00AB2AA9" w:rsidRPr="00113309" w:rsidRDefault="00AB2AA9" w:rsidP="00AB2AA9">
      <w:pPr>
        <w:pStyle w:val="a6"/>
      </w:pPr>
      <w:r w:rsidRPr="00113309">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113309" w:rsidRDefault="00AB2AA9" w:rsidP="00AB2AA9">
      <w:pPr>
        <w:pStyle w:val="a2"/>
      </w:pPr>
      <w:r w:rsidRPr="00113309">
        <w:t>при наличии централизованного горячего водоснабжения - 120;</w:t>
      </w:r>
    </w:p>
    <w:p w:rsidR="00AB2AA9" w:rsidRPr="00113309" w:rsidRDefault="00AB2AA9" w:rsidP="00AB2AA9">
      <w:pPr>
        <w:pStyle w:val="a2"/>
      </w:pPr>
      <w:r w:rsidRPr="00113309">
        <w:t>при горячем водоснабжении от газовых водонагревателей - 300;</w:t>
      </w:r>
    </w:p>
    <w:p w:rsidR="00AB2AA9" w:rsidRPr="00113309" w:rsidRDefault="00AB2AA9" w:rsidP="00AB2AA9">
      <w:pPr>
        <w:pStyle w:val="a2"/>
      </w:pPr>
      <w:r w:rsidRPr="00113309">
        <w:t>при отсутствии всяких видов горячего водоснабжения - 180.</w:t>
      </w:r>
    </w:p>
    <w:p w:rsidR="00AB2AA9" w:rsidRPr="00113309" w:rsidRDefault="00AB2AA9" w:rsidP="00AB2AA9">
      <w:pPr>
        <w:pStyle w:val="a6"/>
      </w:pPr>
      <w:r w:rsidRPr="00113309">
        <w:t>Размещение Газораспределительных станций (ГРС) на территории населенного пункта не допускается.</w:t>
      </w:r>
    </w:p>
    <w:p w:rsidR="00AB2AA9" w:rsidRPr="00113309" w:rsidRDefault="00AB2AA9" w:rsidP="00AB2AA9">
      <w:pPr>
        <w:pStyle w:val="a6"/>
      </w:pPr>
      <w:r w:rsidRPr="00113309">
        <w:lastRenderedPageBreak/>
        <w:t>Минимальные расстояния от надземных (наземных без обвалования) газопроводов до зданий и сооружений указаны ниже (</w:t>
      </w:r>
      <w:fldSimple w:instr=" REF _Ref364440907 \h  \* MERGEFORMAT ">
        <w:r w:rsidRPr="00113309">
          <w:t xml:space="preserve">Таблица </w:t>
        </w:r>
        <w:r w:rsidRPr="00113309">
          <w:rPr>
            <w:noProof/>
          </w:rPr>
          <w:t>32</w:t>
        </w:r>
      </w:fldSimple>
      <w:r w:rsidRPr="00113309">
        <w:t>).</w:t>
      </w:r>
    </w:p>
    <w:p w:rsidR="00AB2AA9" w:rsidRPr="00113309" w:rsidRDefault="00AB2AA9" w:rsidP="00AB2AA9">
      <w:pPr>
        <w:pStyle w:val="a6"/>
      </w:pPr>
      <w:r w:rsidRPr="00113309">
        <w:t>Минимальные расстояния от подземных (наземных с обвалованием) газопроводов до зданий и сооружений (</w:t>
      </w:r>
      <w:fldSimple w:instr=" REF _Ref364440935 \h  \* MERGEFORMAT ">
        <w:r w:rsidRPr="00113309">
          <w:t xml:space="preserve">Таблица </w:t>
        </w:r>
        <w:r w:rsidRPr="00113309">
          <w:rPr>
            <w:noProof/>
          </w:rPr>
          <w:t>33</w:t>
        </w:r>
      </w:fldSimple>
      <w:r w:rsidRPr="00113309">
        <w:t>).</w:t>
      </w:r>
    </w:p>
    <w:p w:rsidR="00AB2AA9" w:rsidRPr="00113309" w:rsidRDefault="00AB2AA9" w:rsidP="00AB2AA9">
      <w:pPr>
        <w:sectPr w:rsidR="00AB2AA9" w:rsidRPr="00113309" w:rsidSect="006C68DB">
          <w:pgSz w:w="11906" w:h="16838" w:code="9"/>
          <w:pgMar w:top="1134" w:right="709" w:bottom="1134" w:left="1559" w:header="720" w:footer="720" w:gutter="0"/>
          <w:cols w:space="720"/>
          <w:docGrid w:linePitch="326"/>
        </w:sectPr>
      </w:pPr>
    </w:p>
    <w:p w:rsidR="00AB2AA9" w:rsidRPr="00113309" w:rsidRDefault="00AB2AA9" w:rsidP="00AB2AA9">
      <w:pPr>
        <w:pStyle w:val="af0"/>
        <w:keepNext/>
        <w:jc w:val="right"/>
      </w:pPr>
      <w:bookmarkStart w:id="174" w:name="_Ref354158935"/>
      <w:bookmarkStart w:id="175" w:name="_Toc309293323"/>
      <w:bookmarkStart w:id="176" w:name="_Ref364440907"/>
      <w:r w:rsidRPr="00113309">
        <w:lastRenderedPageBreak/>
        <w:t xml:space="preserve">Таблица </w:t>
      </w:r>
      <w:fldSimple w:instr=" SEQ Таблица \* ARABIC ">
        <w:r w:rsidRPr="00113309">
          <w:rPr>
            <w:noProof/>
          </w:rPr>
          <w:t>32</w:t>
        </w:r>
      </w:fldSimple>
      <w:bookmarkEnd w:id="176"/>
    </w:p>
    <w:bookmarkEnd w:id="174"/>
    <w:p w:rsidR="00AB2AA9" w:rsidRPr="00113309" w:rsidRDefault="00AB2AA9" w:rsidP="00AB2AA9">
      <w:pPr>
        <w:pStyle w:val="af2"/>
      </w:pPr>
      <w:r w:rsidRPr="00113309">
        <w:t>Минимальные расстояния от надземных (наземных без обвалования) газопроводов до зданий и сооружений</w:t>
      </w:r>
      <w:bookmarkEnd w:id="175"/>
    </w:p>
    <w:tbl>
      <w:tblPr>
        <w:tblW w:w="5000" w:type="pct"/>
        <w:jc w:val="center"/>
        <w:shd w:val="clear" w:color="auto" w:fill="FFFFFF"/>
        <w:tblCellMar>
          <w:left w:w="0" w:type="dxa"/>
          <w:right w:w="0" w:type="dxa"/>
        </w:tblCellMar>
        <w:tblLook w:val="04A0"/>
      </w:tblPr>
      <w:tblGrid>
        <w:gridCol w:w="3816"/>
        <w:gridCol w:w="1217"/>
        <w:gridCol w:w="1211"/>
        <w:gridCol w:w="1218"/>
        <w:gridCol w:w="1860"/>
        <w:gridCol w:w="60"/>
      </w:tblGrid>
      <w:tr w:rsidR="00AB2AA9" w:rsidRPr="00113309"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17" w:tooltip="Правила устройства электроустановок" w:history="1">
              <w:r w:rsidRPr="00113309">
                <w:rPr>
                  <w:sz w:val="20"/>
                  <w:szCs w:val="20"/>
                </w:rPr>
                <w:t>ПУЭ</w:t>
              </w:r>
            </w:hyperlink>
            <w:r w:rsidRPr="00113309">
              <w:rPr>
                <w:sz w:val="20"/>
                <w:szCs w:val="20"/>
              </w:rPr>
              <w:t xml:space="preserve"> [2]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Примечания</w:t>
            </w:r>
          </w:p>
          <w:p w:rsidR="00AB2AA9" w:rsidRPr="00113309" w:rsidRDefault="00AB2AA9" w:rsidP="00D2090D">
            <w:pPr>
              <w:rPr>
                <w:sz w:val="20"/>
                <w:szCs w:val="20"/>
              </w:rPr>
            </w:pPr>
            <w:r w:rsidRPr="00113309">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113309" w:rsidRDefault="00AB2AA9" w:rsidP="00D2090D">
            <w:pPr>
              <w:rPr>
                <w:sz w:val="20"/>
                <w:szCs w:val="20"/>
              </w:rPr>
            </w:pPr>
            <w:r w:rsidRPr="00113309">
              <w:rPr>
                <w:sz w:val="20"/>
                <w:szCs w:val="20"/>
              </w:rPr>
              <w:t xml:space="preserve">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w:t>
            </w:r>
            <w:r w:rsidRPr="00113309">
              <w:rPr>
                <w:sz w:val="20"/>
                <w:szCs w:val="20"/>
              </w:rPr>
              <w:lastRenderedPageBreak/>
              <w:t>соответствии с настоящей таблицей) устанавливают соответственно 5; 10; 15; 20 м.</w:t>
            </w:r>
          </w:p>
          <w:p w:rsidR="00AB2AA9" w:rsidRPr="00113309" w:rsidRDefault="00AB2AA9" w:rsidP="00D2090D">
            <w:pPr>
              <w:rPr>
                <w:sz w:val="20"/>
                <w:szCs w:val="20"/>
              </w:rPr>
            </w:pPr>
            <w:r w:rsidRPr="00113309">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113309" w:rsidRDefault="00AB2AA9" w:rsidP="00D2090D">
            <w:pPr>
              <w:rPr>
                <w:sz w:val="20"/>
                <w:szCs w:val="20"/>
              </w:rPr>
            </w:pPr>
            <w:r w:rsidRPr="00113309">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113309" w:rsidRDefault="00AB2AA9" w:rsidP="00D2090D">
            <w:pPr>
              <w:rPr>
                <w:sz w:val="20"/>
                <w:szCs w:val="20"/>
              </w:rPr>
            </w:pPr>
            <w:r w:rsidRPr="00113309">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113309" w:rsidRDefault="00AB2AA9" w:rsidP="00D2090D">
            <w:pPr>
              <w:rPr>
                <w:sz w:val="20"/>
                <w:szCs w:val="20"/>
              </w:rPr>
            </w:pPr>
            <w:r w:rsidRPr="00113309">
              <w:rPr>
                <w:sz w:val="20"/>
                <w:szCs w:val="20"/>
              </w:rPr>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AB2AA9" w:rsidRPr="00113309" w:rsidRDefault="00AB2AA9" w:rsidP="00D2090D">
            <w:pPr>
              <w:rPr>
                <w:sz w:val="20"/>
                <w:szCs w:val="20"/>
              </w:rPr>
            </w:pPr>
            <w:r w:rsidRPr="00113309">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113309" w:rsidRDefault="00AB2AA9" w:rsidP="00D2090D">
            <w:pPr>
              <w:rPr>
                <w:sz w:val="20"/>
                <w:szCs w:val="20"/>
              </w:rPr>
            </w:pPr>
            <w:r w:rsidRPr="00113309">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113309" w:rsidRDefault="00AB2AA9" w:rsidP="00D2090D">
            <w:pPr>
              <w:rPr>
                <w:sz w:val="20"/>
                <w:szCs w:val="20"/>
              </w:rPr>
            </w:pPr>
            <w:r w:rsidRPr="00113309">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113309" w:rsidRDefault="00AB2AA9" w:rsidP="00D2090D">
            <w:pPr>
              <w:rPr>
                <w:sz w:val="20"/>
                <w:szCs w:val="20"/>
              </w:rPr>
            </w:pPr>
            <w:r w:rsidRPr="00113309">
              <w:rPr>
                <w:sz w:val="20"/>
                <w:szCs w:val="20"/>
              </w:rPr>
              <w:t>9 Для входящих и выходящих газопроводов ГРП, пунктов учета расхода газа расстояния, указанные в графе 1, не нормируются.</w:t>
            </w:r>
          </w:p>
          <w:p w:rsidR="00AB2AA9" w:rsidRPr="00113309" w:rsidRDefault="00AB2AA9" w:rsidP="00D2090D">
            <w:pPr>
              <w:rPr>
                <w:sz w:val="20"/>
                <w:szCs w:val="20"/>
              </w:rPr>
            </w:pPr>
            <w:r w:rsidRPr="00113309">
              <w:rPr>
                <w:sz w:val="20"/>
                <w:szCs w:val="20"/>
              </w:rPr>
              <w:t>10 Расстояния от газопроводов, не относящихся к ГРП, устанавливают по таблице 5.</w:t>
            </w:r>
          </w:p>
          <w:p w:rsidR="00AB2AA9" w:rsidRPr="00113309" w:rsidRDefault="00AB2AA9" w:rsidP="00D2090D">
            <w:pPr>
              <w:rPr>
                <w:sz w:val="20"/>
                <w:szCs w:val="20"/>
              </w:rPr>
            </w:pPr>
            <w:r w:rsidRPr="00113309">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113309" w:rsidRDefault="00AB2AA9" w:rsidP="00D2090D">
            <w:pPr>
              <w:rPr>
                <w:sz w:val="20"/>
                <w:szCs w:val="20"/>
              </w:rPr>
            </w:pPr>
            <w:r w:rsidRPr="00113309">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113309" w:rsidRDefault="00AB2AA9" w:rsidP="00D2090D">
            <w:pPr>
              <w:rPr>
                <w:sz w:val="20"/>
                <w:szCs w:val="20"/>
              </w:rPr>
            </w:pPr>
            <w:r w:rsidRPr="00113309">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113309" w:rsidRDefault="00AB2AA9" w:rsidP="00D2090D">
            <w:pPr>
              <w:rPr>
                <w:sz w:val="20"/>
                <w:szCs w:val="20"/>
              </w:rPr>
            </w:pPr>
            <w:r w:rsidRPr="00113309">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p>
        </w:tc>
      </w:tr>
      <w:tr w:rsidR="00AB2AA9" w:rsidRPr="00113309"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rPr>
                <w:sz w:val="20"/>
                <w:szCs w:val="20"/>
              </w:rPr>
            </w:pPr>
          </w:p>
        </w:tc>
      </w:tr>
    </w:tbl>
    <w:p w:rsidR="00AB2AA9" w:rsidRPr="00113309" w:rsidRDefault="00AB2AA9" w:rsidP="00AB2AA9">
      <w:pPr>
        <w:pStyle w:val="af0"/>
        <w:keepNext/>
        <w:jc w:val="right"/>
      </w:pPr>
      <w:r w:rsidRPr="00113309">
        <w:lastRenderedPageBreak/>
        <w:br w:type="page"/>
      </w:r>
      <w:bookmarkStart w:id="177" w:name="_Ref354158982"/>
      <w:bookmarkStart w:id="178" w:name="_Toc309293325"/>
      <w:bookmarkStart w:id="179" w:name="_Ref364440935"/>
      <w:r w:rsidRPr="00113309">
        <w:lastRenderedPageBreak/>
        <w:t xml:space="preserve">Таблица </w:t>
      </w:r>
      <w:fldSimple w:instr=" SEQ Таблица \* ARABIC ">
        <w:r w:rsidRPr="00113309">
          <w:rPr>
            <w:noProof/>
          </w:rPr>
          <w:t>33</w:t>
        </w:r>
      </w:fldSimple>
      <w:bookmarkEnd w:id="179"/>
    </w:p>
    <w:bookmarkEnd w:id="177"/>
    <w:p w:rsidR="00AB2AA9" w:rsidRPr="00113309" w:rsidRDefault="00AB2AA9" w:rsidP="00AB2AA9">
      <w:pPr>
        <w:pStyle w:val="af2"/>
      </w:pPr>
      <w:r w:rsidRPr="00113309">
        <w:t>Минимальные расстояния от подземных (наземных с обвалованием) газопроводов до зданий и сооружений</w:t>
      </w:r>
      <w:bookmarkEnd w:id="178"/>
    </w:p>
    <w:tbl>
      <w:tblPr>
        <w:tblW w:w="5000" w:type="pct"/>
        <w:jc w:val="center"/>
        <w:shd w:val="clear" w:color="auto" w:fill="FFFFFF"/>
        <w:tblCellMar>
          <w:left w:w="0" w:type="dxa"/>
          <w:right w:w="0" w:type="dxa"/>
        </w:tblCellMar>
        <w:tblLook w:val="04A0"/>
      </w:tblPr>
      <w:tblGrid>
        <w:gridCol w:w="3547"/>
        <w:gridCol w:w="1592"/>
        <w:gridCol w:w="15"/>
        <w:gridCol w:w="992"/>
        <w:gridCol w:w="38"/>
        <w:gridCol w:w="1039"/>
        <w:gridCol w:w="1077"/>
        <w:gridCol w:w="1110"/>
      </w:tblGrid>
      <w:tr w:rsidR="00AB2AA9" w:rsidRPr="00113309"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расстояния по горизонтали (в свету), м, при давлении в газопроводе, МПа, включительно</w:t>
            </w:r>
          </w:p>
        </w:tc>
      </w:tr>
      <w:tr w:rsidR="00AB2AA9" w:rsidRPr="00113309"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0,6 до 1,2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 Газопроводы давлением газа</w:t>
            </w:r>
          </w:p>
          <w:p w:rsidR="00AB2AA9" w:rsidRPr="00113309" w:rsidRDefault="00AB2AA9" w:rsidP="00D2090D">
            <w:pPr>
              <w:rPr>
                <w:sz w:val="20"/>
                <w:szCs w:val="20"/>
              </w:rPr>
            </w:pPr>
            <w:r w:rsidRPr="00113309">
              <w:rPr>
                <w:sz w:val="20"/>
                <w:szCs w:val="20"/>
              </w:rPr>
              <w:t>до 1,2 МПа включ. (природный газ);</w:t>
            </w:r>
          </w:p>
          <w:p w:rsidR="00AB2AA9" w:rsidRPr="00113309" w:rsidRDefault="00AB2AA9" w:rsidP="00D2090D">
            <w:pPr>
              <w:rPr>
                <w:sz w:val="20"/>
                <w:szCs w:val="20"/>
              </w:rPr>
            </w:pPr>
            <w:r w:rsidRPr="00113309">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18" w:tooltip="Правила устройства электроустановок" w:history="1">
              <w:r w:rsidRPr="00113309">
                <w:rPr>
                  <w:sz w:val="20"/>
                  <w:szCs w:val="20"/>
                </w:rPr>
                <w:t>ПУЭ</w:t>
              </w:r>
            </w:hyperlink>
            <w:r w:rsidRPr="00113309">
              <w:rPr>
                <w:sz w:val="20"/>
                <w:szCs w:val="20"/>
              </w:rPr>
              <w:t xml:space="preserve"> [2]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По </w:t>
            </w:r>
            <w:hyperlink r:id="rId19" w:tooltip="Магистральные трубопроводы" w:history="1">
              <w:r w:rsidRPr="00113309">
                <w:rPr>
                  <w:sz w:val="20"/>
                  <w:szCs w:val="20"/>
                </w:rPr>
                <w:t>СНиП 2.05.06</w:t>
              </w:r>
            </w:hyperlink>
            <w:r w:rsidRPr="00113309">
              <w:rPr>
                <w:sz w:val="20"/>
                <w:szCs w:val="20"/>
              </w:rPr>
              <w:t>-85*</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Из условий возможности и безопасности производства работ при строительстве и эксплуатации газопровода</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r>
      <w:tr w:rsidR="00AB2AA9" w:rsidRPr="00113309"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10,8</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lastRenderedPageBreak/>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20" w:tooltip="Правила устройства электроустановок" w:history="1">
              <w:r w:rsidRPr="00113309">
                <w:rPr>
                  <w:sz w:val="20"/>
                  <w:szCs w:val="20"/>
                </w:rPr>
                <w:t>ПУЭ</w:t>
              </w:r>
            </w:hyperlink>
            <w:r w:rsidRPr="00113309">
              <w:rPr>
                <w:sz w:val="20"/>
                <w:szCs w:val="20"/>
              </w:rPr>
              <w:t xml:space="preserve"> [2]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Примечания</w:t>
            </w:r>
          </w:p>
          <w:p w:rsidR="00AB2AA9" w:rsidRPr="00113309" w:rsidRDefault="00AB2AA9" w:rsidP="00D2090D">
            <w:pPr>
              <w:rPr>
                <w:sz w:val="20"/>
                <w:szCs w:val="20"/>
              </w:rPr>
            </w:pPr>
            <w:r w:rsidRPr="00113309">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113309" w:rsidRDefault="00AB2AA9" w:rsidP="00D2090D">
            <w:pPr>
              <w:rPr>
                <w:sz w:val="20"/>
                <w:szCs w:val="20"/>
              </w:rPr>
            </w:pPr>
            <w:r w:rsidRPr="00113309">
              <w:rPr>
                <w:sz w:val="20"/>
                <w:szCs w:val="20"/>
              </w:rPr>
              <w:t>2 Знак «-» означает, что прокладка газопроводов в данных случаях запрещена.</w:t>
            </w:r>
          </w:p>
          <w:p w:rsidR="00AB2AA9" w:rsidRPr="00113309" w:rsidRDefault="00AB2AA9" w:rsidP="00D2090D">
            <w:pPr>
              <w:rPr>
                <w:sz w:val="20"/>
                <w:szCs w:val="20"/>
              </w:rPr>
            </w:pPr>
            <w:r w:rsidRPr="00113309">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113309" w:rsidRDefault="00AB2AA9" w:rsidP="00D2090D">
            <w:pPr>
              <w:rPr>
                <w:sz w:val="20"/>
                <w:szCs w:val="20"/>
              </w:rPr>
            </w:pPr>
            <w:r w:rsidRPr="00113309">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113309" w:rsidRDefault="00AB2AA9" w:rsidP="00D2090D">
            <w:pPr>
              <w:rPr>
                <w:sz w:val="20"/>
                <w:szCs w:val="20"/>
              </w:rPr>
            </w:pPr>
            <w:r w:rsidRPr="00113309">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113309" w:rsidRDefault="00AB2AA9" w:rsidP="00D2090D">
            <w:pPr>
              <w:rPr>
                <w:sz w:val="20"/>
                <w:szCs w:val="20"/>
              </w:rPr>
            </w:pPr>
            <w:r w:rsidRPr="00113309">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113309"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113309" w:rsidRDefault="00AB2AA9" w:rsidP="00AB2AA9">
            <w:pPr>
              <w:pStyle w:val="a2"/>
              <w:numPr>
                <w:ilvl w:val="0"/>
                <w:numId w:val="0"/>
              </w:numPr>
              <w:rPr>
                <w:sz w:val="20"/>
                <w:szCs w:val="20"/>
                <w:lang w:val="ru-RU"/>
              </w:rPr>
            </w:pPr>
          </w:p>
        </w:tc>
      </w:tr>
    </w:tbl>
    <w:p w:rsidR="00120F98" w:rsidRPr="00113309" w:rsidRDefault="00120F98" w:rsidP="00120F98">
      <w:pPr>
        <w:pStyle w:val="2"/>
      </w:pPr>
      <w:bookmarkStart w:id="180" w:name="_Toc389132851"/>
      <w:bookmarkStart w:id="181" w:name="_Toc393700463"/>
      <w:r w:rsidRPr="00113309">
        <w:t>Объекты водоснабжения</w:t>
      </w:r>
      <w:bookmarkEnd w:id="180"/>
      <w:bookmarkEnd w:id="181"/>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r w:rsidRPr="00113309">
        <w:lastRenderedPageBreak/>
        <w:t>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1" w:history="1">
        <w:r w:rsidRPr="00113309">
          <w:t>СП 5.13130</w:t>
        </w:r>
      </w:hyperlink>
      <w:r w:rsidRPr="00113309">
        <w:t xml:space="preserve">, </w:t>
      </w:r>
      <w:hyperlink r:id="rId22" w:history="1">
        <w:r w:rsidRPr="00113309">
          <w:t>СП 8.13130</w:t>
        </w:r>
      </w:hyperlink>
      <w:r w:rsidRPr="00113309">
        <w:t xml:space="preserve">, </w:t>
      </w:r>
      <w:hyperlink r:id="rId23" w:history="1">
        <w:r w:rsidRPr="00113309">
          <w:t>СП 10.13130</w:t>
        </w:r>
      </w:hyperlink>
      <w:r w:rsidRPr="00113309">
        <w:t>.</w:t>
      </w:r>
    </w:p>
    <w:p w:rsidR="00AB2AA9" w:rsidRPr="00113309" w:rsidRDefault="00AB2AA9" w:rsidP="00AB2AA9">
      <w:pPr>
        <w:pStyle w:val="a6"/>
      </w:pPr>
      <w:r w:rsidRPr="00113309">
        <w:lastRenderedPageBreak/>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82" w:name="_Ref364440664"/>
      <w:r w:rsidRPr="00113309">
        <w:t xml:space="preserve">Таблица </w:t>
      </w:r>
      <w:fldSimple w:instr=" SEQ Таблица \* ARABIC ">
        <w:r w:rsidRPr="00113309">
          <w:rPr>
            <w:noProof/>
          </w:rPr>
          <w:t>34</w:t>
        </w:r>
      </w:fldSimple>
      <w:bookmarkEnd w:id="182"/>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83" w:name="_Ref364440693"/>
      <w:r w:rsidRPr="00113309">
        <w:lastRenderedPageBreak/>
        <w:t xml:space="preserve">Таблица </w:t>
      </w:r>
      <w:bookmarkEnd w:id="183"/>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84" w:name="_Toc389132852"/>
      <w:bookmarkStart w:id="185" w:name="_Toc393700464"/>
      <w:r w:rsidRPr="00113309">
        <w:t>Объекты водоотведения</w:t>
      </w:r>
      <w:bookmarkEnd w:id="184"/>
      <w:bookmarkEnd w:id="185"/>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86"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87" w:name="_Ref354156974"/>
      <w:bookmarkStart w:id="188" w:name="_Ref364440721"/>
      <w:bookmarkEnd w:id="186"/>
      <w:r w:rsidRPr="00113309">
        <w:lastRenderedPageBreak/>
        <w:t xml:space="preserve">Таблица </w:t>
      </w:r>
      <w:bookmarkEnd w:id="188"/>
      <w:r w:rsidR="00D21A99" w:rsidRPr="00113309">
        <w:t>36</w:t>
      </w:r>
    </w:p>
    <w:bookmarkEnd w:id="187"/>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9" w:name="_Ref354157014"/>
      <w:bookmarkStart w:id="190" w:name="_Ref364440747"/>
      <w:r w:rsidRPr="00113309">
        <w:t xml:space="preserve">в </w:t>
      </w:r>
      <w:r w:rsidR="00D21A99" w:rsidRPr="00113309">
        <w:t>таблице 37</w:t>
      </w:r>
    </w:p>
    <w:p w:rsidR="00AB2AA9" w:rsidRPr="00113309" w:rsidRDefault="00AB2AA9" w:rsidP="00AB2AA9">
      <w:pPr>
        <w:pStyle w:val="af0"/>
        <w:keepNext/>
        <w:jc w:val="right"/>
      </w:pPr>
      <w:bookmarkStart w:id="191" w:name="_Ref393703595"/>
      <w:r w:rsidRPr="00113309">
        <w:t xml:space="preserve">Таблица </w:t>
      </w:r>
      <w:bookmarkEnd w:id="190"/>
      <w:bookmarkEnd w:id="191"/>
      <w:r w:rsidR="00D21A99" w:rsidRPr="00113309">
        <w:t>37</w:t>
      </w:r>
    </w:p>
    <w:bookmarkEnd w:id="189"/>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92" w:name="_Ref354392419"/>
      <w:bookmarkStart w:id="193" w:name="_Ref364440787"/>
      <w:r w:rsidRPr="00113309">
        <w:t xml:space="preserve">Таблица </w:t>
      </w:r>
      <w:bookmarkEnd w:id="193"/>
      <w:r w:rsidR="00D21A99" w:rsidRPr="00113309">
        <w:t>38</w:t>
      </w:r>
    </w:p>
    <w:bookmarkEnd w:id="192"/>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94" w:name="_Toc389132853"/>
      <w:bookmarkStart w:id="195" w:name="_Toc393700465"/>
      <w:r w:rsidRPr="00113309">
        <w:t>Снабжение населения топливом</w:t>
      </w:r>
      <w:bookmarkEnd w:id="194"/>
      <w:bookmarkEnd w:id="195"/>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96" w:name="_Ref354159819"/>
      <w:bookmarkStart w:id="197" w:name="_Ref364441076"/>
      <w:r w:rsidRPr="00113309">
        <w:t xml:space="preserve">Таблица </w:t>
      </w:r>
      <w:bookmarkEnd w:id="197"/>
      <w:r w:rsidR="00D21A99" w:rsidRPr="00113309">
        <w:t>40</w:t>
      </w:r>
    </w:p>
    <w:bookmarkEnd w:id="196"/>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8" w:name="_Toc389132860"/>
      <w:bookmarkStart w:id="199"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8"/>
      <w:bookmarkEnd w:id="199"/>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200" w:name="_Toc389132864"/>
      <w:bookmarkStart w:id="201" w:name="_Toc393700470"/>
      <w:bookmarkStart w:id="202" w:name="_Toc389132861"/>
      <w:bookmarkStart w:id="203"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2"/>
      <w:bookmarkEnd w:id="20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4"/>
          <w:footerReference w:type="default" r:id="rId25"/>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204" w:name="_Ref375128471"/>
      <w:r w:rsidRPr="00113309">
        <w:lastRenderedPageBreak/>
        <w:t xml:space="preserve">Таблица </w:t>
      </w:r>
      <w:bookmarkEnd w:id="204"/>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205" w:name="_Toc389132862"/>
      <w:bookmarkStart w:id="206" w:name="_Toc393700468"/>
      <w:r w:rsidRPr="00113309">
        <w:lastRenderedPageBreak/>
        <w:t>Категории и параметры автомобильных дорог систем расселения</w:t>
      </w:r>
      <w:bookmarkEnd w:id="205"/>
      <w:bookmarkEnd w:id="206"/>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207" w:name="_Toc389132854"/>
      <w:bookmarkStart w:id="208" w:name="_Toc393700483"/>
      <w:bookmarkStart w:id="209" w:name="_Toc389132863"/>
      <w:bookmarkStart w:id="210" w:name="_Toc393700469"/>
      <w:bookmarkEnd w:id="200"/>
      <w:bookmarkEnd w:id="201"/>
      <w:r w:rsidRPr="00113309">
        <w:lastRenderedPageBreak/>
        <w:t>Параметры отводимых территорий под размещаемые автомобильные дороги</w:t>
      </w:r>
      <w:bookmarkEnd w:id="209"/>
      <w:bookmarkEnd w:id="21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11" w:name="_Ref375138376"/>
      <w:r w:rsidRPr="00113309">
        <w:t xml:space="preserve">Таблица </w:t>
      </w:r>
      <w:bookmarkEnd w:id="211"/>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12" w:name="_Toc389132865"/>
      <w:bookmarkStart w:id="213" w:name="_Toc393700471"/>
      <w:r w:rsidRPr="00113309">
        <w:t>Обеспеченность внешних автомобильных дорог объектами дорожного сервиса и элементами обустройства</w:t>
      </w:r>
      <w:bookmarkEnd w:id="212"/>
      <w:bookmarkEnd w:id="213"/>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14" w:name="_Ref375131017"/>
      <w:r w:rsidRPr="00113309">
        <w:lastRenderedPageBreak/>
        <w:t xml:space="preserve">Таблица </w:t>
      </w:r>
      <w:bookmarkEnd w:id="214"/>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15" w:name="_Ref375228443"/>
      <w:r w:rsidRPr="00113309">
        <w:t xml:space="preserve">Таблица </w:t>
      </w:r>
      <w:bookmarkEnd w:id="215"/>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Березовский  район</w:t>
            </w:r>
          </w:p>
        </w:tc>
        <w:tc>
          <w:tcPr>
            <w:tcW w:w="2010" w:type="dxa"/>
            <w:shd w:val="clear" w:color="auto" w:fill="auto"/>
            <w:vAlign w:val="center"/>
          </w:tcPr>
          <w:p w:rsidR="00A621BA" w:rsidRPr="00113309" w:rsidRDefault="00A621BA" w:rsidP="00436E04">
            <w:pPr>
              <w:jc w:val="center"/>
              <w:rPr>
                <w:sz w:val="20"/>
                <w:szCs w:val="20"/>
              </w:rPr>
            </w:pPr>
            <w:r w:rsidRPr="00113309">
              <w:rPr>
                <w:sz w:val="20"/>
                <w:szCs w:val="20"/>
              </w:rPr>
              <w:t>400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75</w:t>
            </w:r>
          </w:p>
        </w:tc>
        <w:tc>
          <w:tcPr>
            <w:tcW w:w="1879" w:type="dxa"/>
            <w:shd w:val="clear" w:color="auto" w:fill="auto"/>
            <w:vAlign w:val="center"/>
          </w:tcPr>
          <w:p w:rsidR="00A621BA" w:rsidRPr="00113309" w:rsidRDefault="00A621BA" w:rsidP="00436E04">
            <w:pPr>
              <w:jc w:val="center"/>
              <w:rPr>
                <w:sz w:val="20"/>
                <w:szCs w:val="20"/>
              </w:rPr>
            </w:pPr>
            <w:r w:rsidRPr="00113309">
              <w:rPr>
                <w:sz w:val="20"/>
                <w:szCs w:val="20"/>
              </w:rPr>
              <w:t>10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Саянский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90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16" w:name="_Toc389132866"/>
      <w:bookmarkStart w:id="217" w:name="_Toc393700472"/>
      <w:r w:rsidRPr="00113309">
        <w:lastRenderedPageBreak/>
        <w:t>Затраты времени на передвижение трудящихся</w:t>
      </w:r>
      <w:bookmarkEnd w:id="216"/>
      <w:bookmarkEnd w:id="217"/>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8" w:name="_Ref375228553"/>
      <w:r w:rsidRPr="00113309">
        <w:t xml:space="preserve">Таблица </w:t>
      </w:r>
      <w:bookmarkEnd w:id="218"/>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9" w:name="_Toc389132867"/>
      <w:bookmarkStart w:id="220" w:name="_Toc393700473"/>
      <w:r w:rsidRPr="00113309">
        <w:t>Категории дорог и улиц (для улично-дорожной сети населенных пунктов)</w:t>
      </w:r>
      <w:bookmarkEnd w:id="219"/>
      <w:bookmarkEnd w:id="220"/>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21" w:name="_Ref375232557"/>
      <w:r w:rsidRPr="00113309">
        <w:t xml:space="preserve">Таблица </w:t>
      </w:r>
      <w:r w:rsidR="00D21A99" w:rsidRPr="00113309">
        <w:t>48</w:t>
      </w:r>
      <w:fldSimple w:instr=" SEQ Таблица \* ARABIC "/>
      <w:bookmarkEnd w:id="221"/>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22" w:name="_Toc389132868"/>
      <w:bookmarkStart w:id="223" w:name="_Toc393700474"/>
      <w:r w:rsidRPr="00113309">
        <w:t>Параметры улично-дорожной сети городских и сельских поселений</w:t>
      </w:r>
      <w:bookmarkEnd w:id="222"/>
      <w:bookmarkEnd w:id="223"/>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24" w:name="_Ref375232581"/>
      <w:r w:rsidRPr="00113309">
        <w:lastRenderedPageBreak/>
        <w:t xml:space="preserve">Таблица </w:t>
      </w:r>
      <w:bookmarkEnd w:id="224"/>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25" w:name="_Ref375232596"/>
      <w:r w:rsidRPr="00113309">
        <w:t xml:space="preserve">Таблица </w:t>
      </w:r>
      <w:bookmarkEnd w:id="225"/>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26" w:name="_Toc389132869"/>
      <w:bookmarkStart w:id="227" w:name="_Toc393700475"/>
      <w:r w:rsidRPr="00113309">
        <w:t>Основные параметры тротуаров и пешеходных дорожек</w:t>
      </w:r>
      <w:bookmarkEnd w:id="226"/>
      <w:bookmarkEnd w:id="227"/>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8" w:name="_Ref375232624"/>
    </w:p>
    <w:p w:rsidR="00A621BA" w:rsidRPr="00113309" w:rsidRDefault="00A621BA" w:rsidP="00A621BA">
      <w:pPr>
        <w:pStyle w:val="af0"/>
        <w:keepNext/>
        <w:jc w:val="right"/>
      </w:pPr>
      <w:bookmarkStart w:id="229" w:name="_Ref393703785"/>
      <w:r w:rsidRPr="00113309">
        <w:t xml:space="preserve">Таблица </w:t>
      </w:r>
      <w:bookmarkEnd w:id="228"/>
      <w:bookmarkEnd w:id="229"/>
      <w:r w:rsidR="00D21A99" w:rsidRPr="00113309">
        <w:t>51</w:t>
      </w:r>
    </w:p>
    <w:p w:rsidR="00A621BA" w:rsidRPr="00113309" w:rsidRDefault="00A621BA" w:rsidP="00A621BA">
      <w:pPr>
        <w:pStyle w:val="af2"/>
      </w:pPr>
      <w:bookmarkStart w:id="230" w:name="_Toc389132870"/>
      <w:bookmarkStart w:id="231"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30"/>
      <w:bookmarkEnd w:id="231"/>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32" w:name="_Ref375232640"/>
      <w:r w:rsidRPr="00113309">
        <w:t xml:space="preserve">Таблица </w:t>
      </w:r>
      <w:bookmarkEnd w:id="232"/>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33" w:name="_Toc389132871"/>
      <w:bookmarkStart w:id="234" w:name="_Toc393700477"/>
      <w:r w:rsidRPr="00113309">
        <w:lastRenderedPageBreak/>
        <w:t>Параметры пешеходных путей с возможностью проезда механических инвалидных колясок</w:t>
      </w:r>
      <w:bookmarkEnd w:id="233"/>
      <w:bookmarkEnd w:id="234"/>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35" w:name="_Toc389132872"/>
      <w:bookmarkStart w:id="236" w:name="_Toc393700478"/>
      <w:r w:rsidRPr="00113309">
        <w:t>Ширина полосы для складирования снега в пределах проезжей части улиц и дорог</w:t>
      </w:r>
      <w:bookmarkEnd w:id="235"/>
      <w:bookmarkEnd w:id="236"/>
      <w:r w:rsidRPr="00113309">
        <w:t xml:space="preserve"> </w:t>
      </w:r>
    </w:p>
    <w:p w:rsidR="00A621BA" w:rsidRPr="00113309" w:rsidRDefault="00A621BA" w:rsidP="00A621BA">
      <w:pPr>
        <w:pStyle w:val="a6"/>
      </w:pPr>
      <w:bookmarkStart w:id="237" w:name="_Toc389132873"/>
      <w:bookmarkStart w:id="238" w:name="_Toc393700479"/>
      <w:r w:rsidRPr="00113309">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113309" w:rsidRDefault="00A621BA" w:rsidP="00A621BA">
      <w:pPr>
        <w:pStyle w:val="a6"/>
      </w:pPr>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37"/>
      <w:bookmarkEnd w:id="238"/>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 xml:space="preserve">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w:t>
      </w:r>
      <w:r w:rsidRPr="00113309">
        <w:lastRenderedPageBreak/>
        <w:t>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9" w:name="_Ref375232726"/>
      <w:r w:rsidRPr="00113309">
        <w:lastRenderedPageBreak/>
        <w:t xml:space="preserve">Таблица </w:t>
      </w:r>
      <w:bookmarkEnd w:id="239"/>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40" w:name="_Toc389132874"/>
      <w:bookmarkStart w:id="241" w:name="_Toc393700480"/>
      <w:r w:rsidRPr="00113309">
        <w:t>Нормы проектирования сооружений и устройств для хранения  и обслуживания транспортных средств</w:t>
      </w:r>
      <w:bookmarkEnd w:id="240"/>
      <w:bookmarkEnd w:id="241"/>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42" w:name="_Ref375232750"/>
      <w:bookmarkStart w:id="243" w:name="_Ref375825095"/>
      <w:r w:rsidRPr="00113309">
        <w:lastRenderedPageBreak/>
        <w:t xml:space="preserve">Таблица </w:t>
      </w:r>
      <w:bookmarkEnd w:id="242"/>
      <w:bookmarkEnd w:id="243"/>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44" w:name="_Toc389132875"/>
      <w:bookmarkStart w:id="245" w:name="_Toc393700481"/>
      <w:r w:rsidRPr="00113309">
        <w:t>Параметры проектирования объектов транспортного обслуживания</w:t>
      </w:r>
      <w:bookmarkEnd w:id="244"/>
      <w:bookmarkEnd w:id="245"/>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46" w:name="_Ref375232820"/>
      <w:r w:rsidRPr="00113309">
        <w:t xml:space="preserve">Таблица </w:t>
      </w:r>
      <w:bookmarkEnd w:id="246"/>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47" w:name="_Toc389132876"/>
      <w:bookmarkStart w:id="248" w:name="_Toc393700482"/>
      <w:r w:rsidRPr="00113309">
        <w:t>Показатели инженерной подготовки и защиты территории</w:t>
      </w:r>
      <w:bookmarkEnd w:id="247"/>
      <w:bookmarkEnd w:id="248"/>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9" w:name="_Ref375141282"/>
      <w:r w:rsidRPr="00113309">
        <w:t xml:space="preserve">Таблица </w:t>
      </w:r>
      <w:bookmarkEnd w:id="249"/>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207"/>
      <w:bookmarkEnd w:id="208"/>
    </w:p>
    <w:p w:rsidR="00436E04" w:rsidRPr="00113309" w:rsidRDefault="00436E04" w:rsidP="00436E04">
      <w:pPr>
        <w:pStyle w:val="2"/>
        <w:tabs>
          <w:tab w:val="left" w:pos="1134"/>
          <w:tab w:val="left" w:pos="1276"/>
        </w:tabs>
      </w:pPr>
      <w:bookmarkStart w:id="250" w:name="_Toc389132877"/>
      <w:bookmarkStart w:id="251" w:name="_Toc393700489"/>
      <w:bookmarkStart w:id="252" w:name="_Toc389132855"/>
      <w:bookmarkStart w:id="253" w:name="_Toc393700484"/>
      <w:r w:rsidRPr="00113309">
        <w:t>Параметры проектирования сети общественного пассажирского транспорта и пешеходного движения</w:t>
      </w:r>
      <w:bookmarkEnd w:id="252"/>
      <w:bookmarkEnd w:id="25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54" w:name="_Ref375232261"/>
      <w:r w:rsidRPr="00113309">
        <w:lastRenderedPageBreak/>
        <w:t xml:space="preserve">Таблица </w:t>
      </w:r>
      <w:bookmarkEnd w:id="254"/>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55" w:name="_Toc389132856"/>
      <w:bookmarkStart w:id="256" w:name="_Toc393700485"/>
      <w:r w:rsidRPr="00113309">
        <w:lastRenderedPageBreak/>
        <w:t>Дальность пешеходных подходов до ближайшей остановки общественного пассажирского транспорта</w:t>
      </w:r>
      <w:bookmarkEnd w:id="255"/>
      <w:bookmarkEnd w:id="256"/>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57" w:name="_Toc389132857"/>
      <w:bookmarkStart w:id="258" w:name="_Toc393700486"/>
      <w:r w:rsidRPr="00113309">
        <w:t>Нормы проектирования остановочных пунктов общественного транспорта</w:t>
      </w:r>
      <w:bookmarkEnd w:id="257"/>
      <w:bookmarkEnd w:id="258"/>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9" w:name="_Toc389132858"/>
      <w:bookmarkStart w:id="260" w:name="_Toc393700487"/>
      <w:r w:rsidRPr="00113309">
        <w:lastRenderedPageBreak/>
        <w:t>Нормы проектирования отстойно-разворотных площадок</w:t>
      </w:r>
      <w:bookmarkEnd w:id="259"/>
      <w:bookmarkEnd w:id="260"/>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61" w:name="_Toc389132859"/>
      <w:bookmarkStart w:id="262" w:name="_Toc393700488"/>
      <w:r w:rsidRPr="00113309">
        <w:t>Нормы земельных участков под автобусные парки (гаражи)</w:t>
      </w:r>
      <w:bookmarkEnd w:id="261"/>
      <w:bookmarkEnd w:id="262"/>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50"/>
      <w:bookmarkEnd w:id="251"/>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63" w:name="_Toc389132886"/>
      <w:bookmarkStart w:id="264"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63"/>
      <w:bookmarkEnd w:id="264"/>
    </w:p>
    <w:p w:rsidR="008D20DC" w:rsidRPr="00113309" w:rsidRDefault="008D20DC" w:rsidP="008D20DC">
      <w:pPr>
        <w:pStyle w:val="2"/>
      </w:pPr>
      <w:bookmarkStart w:id="265" w:name="_Toc389132887"/>
      <w:bookmarkStart w:id="266" w:name="_Toc393700491"/>
      <w:r w:rsidRPr="00113309">
        <w:t>Нормативные размеры земельного участка для кладбища</w:t>
      </w:r>
      <w:bookmarkEnd w:id="265"/>
      <w:bookmarkEnd w:id="266"/>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67" w:name="_Toc389132888"/>
      <w:bookmarkStart w:id="268" w:name="_Toc393700492"/>
      <w:r w:rsidRPr="00113309">
        <w:t>Нормативные требования к размещению объектов ритуального назначения</w:t>
      </w:r>
      <w:bookmarkEnd w:id="267"/>
      <w:bookmarkEnd w:id="268"/>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7"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8"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9"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9" w:name="_Toc389132889"/>
      <w:bookmarkStart w:id="270" w:name="_Toc393700493"/>
      <w:r w:rsidRPr="00113309">
        <w:t>Нормативные требования к участку, отводимому под кладбище.</w:t>
      </w:r>
      <w:bookmarkEnd w:id="269"/>
      <w:bookmarkEnd w:id="270"/>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71" w:name="_Toc389132890"/>
      <w:bookmarkStart w:id="272" w:name="_Toc393700494"/>
      <w:r w:rsidRPr="00113309">
        <w:t>Нормативные требования к использованию территорий закрытых кладбищ.</w:t>
      </w:r>
      <w:bookmarkEnd w:id="271"/>
      <w:bookmarkEnd w:id="272"/>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73" w:name="_Toc389132891"/>
      <w:bookmarkStart w:id="274" w:name="_Toc393700495"/>
      <w:r w:rsidRPr="00113309">
        <w:t>Нормативные требования к благоустройству объектов ритуального назначения.</w:t>
      </w:r>
      <w:bookmarkEnd w:id="273"/>
      <w:bookmarkEnd w:id="274"/>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75" w:name="_Toc389132878"/>
      <w:bookmarkStart w:id="276"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75"/>
      <w:bookmarkEnd w:id="276"/>
    </w:p>
    <w:p w:rsidR="008D20DC" w:rsidRPr="00113309" w:rsidRDefault="008D20DC" w:rsidP="008D20DC">
      <w:pPr>
        <w:pStyle w:val="2"/>
      </w:pPr>
      <w:bookmarkStart w:id="277" w:name="_Toc389132879"/>
      <w:bookmarkStart w:id="278" w:name="_Toc393700497"/>
      <w:r w:rsidRPr="00113309">
        <w:t>Нормативы накопления твёрдых бытовых отходов</w:t>
      </w:r>
      <w:bookmarkEnd w:id="277"/>
      <w:bookmarkEnd w:id="278"/>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9" w:name="_Ref393703914"/>
      <w:r w:rsidRPr="00113309">
        <w:t xml:space="preserve">Таблица </w:t>
      </w:r>
      <w:bookmarkEnd w:id="279"/>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3"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80" w:name="_Toc389132880"/>
      <w:bookmarkStart w:id="281" w:name="_Toc393700498"/>
      <w:r w:rsidRPr="00113309">
        <w:t>Нормативы накопления  крупногабаритных  коммунальных  отходов</w:t>
      </w:r>
      <w:bookmarkEnd w:id="280"/>
      <w:bookmarkEnd w:id="281"/>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82" w:name="_Toc389132881"/>
      <w:bookmarkStart w:id="283"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82"/>
      <w:bookmarkEnd w:id="283"/>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84" w:name="_Toc389132882"/>
      <w:bookmarkStart w:id="285" w:name="_Toc393700500"/>
      <w:r w:rsidRPr="00113309">
        <w:t>Нормативные требования к мероприятиям по мусороудалению</w:t>
      </w:r>
      <w:bookmarkEnd w:id="284"/>
      <w:bookmarkEnd w:id="285"/>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86" w:name="_Toc389132883"/>
      <w:bookmarkStart w:id="287" w:name="_Toc393700501"/>
      <w:r w:rsidRPr="00113309">
        <w:t>Нормативные требования к размещению площадок для установки  мусоросборников</w:t>
      </w:r>
      <w:bookmarkEnd w:id="286"/>
      <w:bookmarkEnd w:id="287"/>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8" w:name="_Toc389132884"/>
      <w:bookmarkStart w:id="289" w:name="_Toc393700502"/>
      <w:r w:rsidRPr="00113309">
        <w:t>Нормативные требования к расчёту числа устанавливаемых контейнеров для мусора.</w:t>
      </w:r>
      <w:bookmarkEnd w:id="288"/>
      <w:bookmarkEnd w:id="289"/>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90" w:name="_Toc389132885"/>
      <w:bookmarkStart w:id="291"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0"/>
      <w:bookmarkEnd w:id="291"/>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92" w:name="_Toc389132906"/>
      <w:bookmarkStart w:id="293"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2"/>
      <w:bookmarkEnd w:id="293"/>
    </w:p>
    <w:p w:rsidR="008D20DC" w:rsidRPr="00113309" w:rsidRDefault="008D20DC" w:rsidP="008D20DC">
      <w:pPr>
        <w:pStyle w:val="2"/>
      </w:pPr>
      <w:bookmarkStart w:id="294" w:name="_Toc389132907"/>
      <w:bookmarkStart w:id="295"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4"/>
      <w:bookmarkEnd w:id="295"/>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96" w:name="_Toc389132908"/>
      <w:bookmarkStart w:id="297" w:name="_Toc393700506"/>
      <w:r w:rsidRPr="00113309">
        <w:t>Нормативные требования градостроительного проектирования в сейсмических районах</w:t>
      </w:r>
      <w:bookmarkEnd w:id="296"/>
      <w:bookmarkEnd w:id="297"/>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8" w:name="_Toc389132909"/>
      <w:bookmarkStart w:id="299" w:name="_Toc393700507"/>
      <w:r w:rsidRPr="00113309">
        <w:t>Нормативные показатели пожарной безопасности населенных пунктов</w:t>
      </w:r>
      <w:bookmarkEnd w:id="298"/>
      <w:bookmarkEnd w:id="299"/>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300" w:name="_Toc389132910"/>
      <w:bookmarkStart w:id="301" w:name="_Toc393700508"/>
      <w:r w:rsidRPr="00113309">
        <w:t>Нормативные требования по защите территорий от затопления и по</w:t>
      </w:r>
      <w:r w:rsidRPr="00113309">
        <w:t>д</w:t>
      </w:r>
      <w:r w:rsidRPr="00113309">
        <w:t>топления</w:t>
      </w:r>
      <w:bookmarkEnd w:id="300"/>
      <w:bookmarkEnd w:id="301"/>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302" w:name="_Toc389132905"/>
      <w:bookmarkStart w:id="303"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2"/>
      <w:bookmarkEnd w:id="303"/>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304" w:name="_Toc389132911"/>
      <w:bookmarkStart w:id="305"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304"/>
      <w:bookmarkEnd w:id="305"/>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306" w:name="_Toc389132919"/>
      <w:bookmarkStart w:id="307"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06"/>
      <w:bookmarkEnd w:id="307"/>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4"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8" w:name="_Toc389132914"/>
      <w:bookmarkStart w:id="309" w:name="_Toc393700512"/>
      <w:r w:rsidRPr="00113309">
        <w:t>Нормативы градостроительного проектирования в сфере охраны окружающей среды.</w:t>
      </w:r>
      <w:bookmarkEnd w:id="308"/>
      <w:bookmarkEnd w:id="309"/>
    </w:p>
    <w:p w:rsidR="008D20DC" w:rsidRPr="00113309" w:rsidRDefault="008D20DC" w:rsidP="008D20DC">
      <w:pPr>
        <w:pStyle w:val="2"/>
      </w:pPr>
      <w:bookmarkStart w:id="310" w:name="_Toc374977956"/>
      <w:bookmarkStart w:id="311" w:name="_Toc389132915"/>
      <w:bookmarkStart w:id="312" w:name="_Toc393700513"/>
      <w:r w:rsidRPr="00113309">
        <w:t>Нормативные показатели допустимых уровней воздействия на окружающую среду.</w:t>
      </w:r>
      <w:bookmarkEnd w:id="310"/>
      <w:bookmarkEnd w:id="311"/>
      <w:bookmarkEnd w:id="312"/>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13" w:name="_Ref375751625"/>
      <w:r w:rsidRPr="00113309">
        <w:t xml:space="preserve">Таблица </w:t>
      </w:r>
      <w:bookmarkEnd w:id="313"/>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14" w:name="_Toc388452043"/>
            <w:bookmarkStart w:id="315" w:name="_Toc389132916"/>
            <w:bookmarkStart w:id="316" w:name="_Toc393700514"/>
            <w:r w:rsidRPr="00113309">
              <w:rPr>
                <w:rFonts w:eastAsia="Calibri"/>
                <w:b w:val="0"/>
                <w:bCs w:val="0"/>
                <w:kern w:val="0"/>
                <w:sz w:val="20"/>
                <w:szCs w:val="20"/>
                <w:lang w:val="ru-RU" w:eastAsia="ar-SA"/>
              </w:rPr>
              <w:t>ПДК</w:t>
            </w:r>
            <w:bookmarkEnd w:id="314"/>
            <w:bookmarkEnd w:id="315"/>
            <w:bookmarkEnd w:id="316"/>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5"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7" w:name="_Toc374977957"/>
    </w:p>
    <w:p w:rsidR="008D20DC" w:rsidRPr="00113309" w:rsidRDefault="008D20DC" w:rsidP="008D20DC">
      <w:pPr>
        <w:pStyle w:val="2"/>
      </w:pPr>
      <w:bookmarkStart w:id="318" w:name="_Toc389132917"/>
      <w:bookmarkStart w:id="319"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7"/>
      <w:bookmarkEnd w:id="318"/>
      <w:bookmarkEnd w:id="319"/>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20" w:name="_Ref388450594"/>
      <w:r w:rsidRPr="00113309">
        <w:t xml:space="preserve">Таблица </w:t>
      </w:r>
      <w:bookmarkEnd w:id="320"/>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21" w:name="_Toc389132918"/>
      <w:bookmarkStart w:id="322" w:name="_Toc393700516"/>
      <w:r w:rsidRPr="00113309">
        <w:t>Регулирование микроклимата</w:t>
      </w:r>
      <w:bookmarkEnd w:id="321"/>
      <w:bookmarkEnd w:id="322"/>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23" w:name="_Toc389132913"/>
      <w:bookmarkStart w:id="324"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23"/>
      <w:bookmarkEnd w:id="324"/>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25" w:name="_Toc389132912"/>
      <w:bookmarkStart w:id="326" w:name="_Toc393700518"/>
      <w:r w:rsidRPr="00113309">
        <w:t>Нормативные требования к застройке территорий мест</w:t>
      </w:r>
      <w:r w:rsidRPr="00113309">
        <w:t>о</w:t>
      </w:r>
      <w:r w:rsidRPr="00113309">
        <w:t>рождений полезных ископаемых.</w:t>
      </w:r>
      <w:bookmarkEnd w:id="325"/>
      <w:bookmarkEnd w:id="326"/>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27" w:name="_Toc389132920"/>
      <w:bookmarkStart w:id="328" w:name="_Toc393700519"/>
      <w:r w:rsidRPr="00113309">
        <w:t>Нормативные требования к охране объектов культурного наследия при градостроительном проектировании.</w:t>
      </w:r>
      <w:bookmarkEnd w:id="327"/>
      <w:bookmarkEnd w:id="328"/>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9" w:name="_Toc389132824"/>
      <w:bookmarkStart w:id="330"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9"/>
      <w:bookmarkEnd w:id="330"/>
      <w:r w:rsidRPr="00113309">
        <w:t xml:space="preserve"> </w:t>
      </w:r>
    </w:p>
    <w:p w:rsidR="00A378F9" w:rsidRPr="00113309" w:rsidRDefault="00A378F9" w:rsidP="00A378F9">
      <w:pPr>
        <w:pStyle w:val="2"/>
      </w:pPr>
      <w:bookmarkStart w:id="331" w:name="_Toc389132825"/>
      <w:bookmarkStart w:id="332"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31"/>
      <w:bookmarkEnd w:id="332"/>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33" w:name="_Toc389132826"/>
      <w:bookmarkStart w:id="334"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33"/>
      <w:bookmarkEnd w:id="334"/>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35" w:name="_Toc389132827"/>
      <w:bookmarkStart w:id="336"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35"/>
      <w:bookmarkEnd w:id="336"/>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37" w:name="_Toc389132828"/>
      <w:bookmarkStart w:id="338" w:name="_Toc393700524"/>
      <w:r w:rsidRPr="00113309">
        <w:t>Размеры земельных участков лечебно-оздоровительных местностей и курортов местного значения</w:t>
      </w:r>
      <w:bookmarkEnd w:id="337"/>
      <w:bookmarkEnd w:id="338"/>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9" w:name="_Toc389132829"/>
      <w:bookmarkStart w:id="340" w:name="_Toc393700525"/>
      <w:r w:rsidRPr="00113309">
        <w:t>Расстояние от границ земельных участков вновь проектируемых санаторно-курортных и оздоровительных организаций</w:t>
      </w:r>
      <w:bookmarkEnd w:id="339"/>
      <w:bookmarkEnd w:id="340"/>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41" w:name="_Toc389132830"/>
      <w:bookmarkStart w:id="342" w:name="_Toc393700526"/>
      <w:r w:rsidRPr="00113309">
        <w:t>Размеры территорий пляжей, размещаемых в курортных зонах</w:t>
      </w:r>
      <w:bookmarkEnd w:id="341"/>
      <w:bookmarkEnd w:id="342"/>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43" w:name="_Toc389132831"/>
      <w:bookmarkStart w:id="344" w:name="_Toc393700527"/>
      <w:r w:rsidRPr="00113309">
        <w:t>Размеры речных и озерных пляжей, размещаемых на землях, пригодных для сельскохозяйственного использования</w:t>
      </w:r>
      <w:bookmarkEnd w:id="343"/>
      <w:bookmarkEnd w:id="34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45" w:name="_Toc389132832"/>
      <w:bookmarkStart w:id="346" w:name="_Toc393700528"/>
      <w:r w:rsidRPr="00113309">
        <w:t>Размеры территории специализированных лечебных пляжей для лечащихся с ограниченной подвижностью</w:t>
      </w:r>
      <w:bookmarkEnd w:id="345"/>
      <w:bookmarkEnd w:id="346"/>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47" w:name="_Toc389132833"/>
      <w:bookmarkStart w:id="348" w:name="_Toc393700529"/>
      <w:r w:rsidRPr="00113309">
        <w:t>Коэффициенты одновременной загрузки пляжей для расчета численности единовременных посетителей на пляжах</w:t>
      </w:r>
      <w:bookmarkEnd w:id="347"/>
      <w:bookmarkEnd w:id="348"/>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9" w:name="_Toc389132839"/>
      <w:bookmarkStart w:id="350" w:name="_Toc393700530"/>
      <w:r w:rsidRPr="00113309">
        <w:lastRenderedPageBreak/>
        <w:t>Нормативы обеспеченности в границах поселения объектами для массового отдыха жителей поселения</w:t>
      </w:r>
      <w:bookmarkEnd w:id="349"/>
      <w:bookmarkEnd w:id="350"/>
    </w:p>
    <w:p w:rsidR="00A378F9" w:rsidRPr="00113309" w:rsidRDefault="00A378F9" w:rsidP="00A378F9">
      <w:pPr>
        <w:pStyle w:val="2"/>
      </w:pPr>
      <w:bookmarkStart w:id="351" w:name="_Toc389132840"/>
      <w:bookmarkStart w:id="352" w:name="_Toc393700531"/>
      <w:r w:rsidRPr="00113309">
        <w:t>Требования к размещению объектов для массового отдыха населения</w:t>
      </w:r>
      <w:bookmarkEnd w:id="351"/>
      <w:bookmarkEnd w:id="352"/>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53" w:name="_Toc389132841"/>
      <w:bookmarkStart w:id="354" w:name="_Toc393700532"/>
      <w:r w:rsidRPr="00113309">
        <w:t>Требования к размещению зоны отдыха в условиях котловинности горного рельефа</w:t>
      </w:r>
      <w:bookmarkEnd w:id="353"/>
      <w:bookmarkEnd w:id="354"/>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55" w:name="_Toc389132842"/>
      <w:bookmarkStart w:id="356" w:name="_Toc393700533"/>
      <w:r w:rsidRPr="00113309">
        <w:t>Нормативы транспортной доступности зон массового кратковременного отдыха</w:t>
      </w:r>
      <w:bookmarkEnd w:id="355"/>
      <w:bookmarkEnd w:id="356"/>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57" w:name="_Toc389132843"/>
      <w:bookmarkStart w:id="358" w:name="_Toc393700534"/>
      <w:r w:rsidRPr="00113309">
        <w:t>Размеры территорий зон отдыха</w:t>
      </w:r>
      <w:bookmarkEnd w:id="357"/>
      <w:bookmarkEnd w:id="358"/>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9" w:name="_Toc389132844"/>
      <w:bookmarkStart w:id="360" w:name="_Toc393700535"/>
      <w:r w:rsidRPr="00113309">
        <w:t>Размеры территорий пляжей, размещаемых в зонах  отдыха</w:t>
      </w:r>
      <w:bookmarkEnd w:id="359"/>
      <w:bookmarkEnd w:id="360"/>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61" w:name="_Toc389132845"/>
      <w:bookmarkStart w:id="362" w:name="_Toc393700536"/>
      <w:r w:rsidRPr="00113309">
        <w:t>Размеры речных и озерных пляжей, размещаемых на землях, пригодных для сельскохозяйственного использования</w:t>
      </w:r>
      <w:bookmarkEnd w:id="361"/>
      <w:bookmarkEnd w:id="362"/>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63" w:name="_Toc389132846"/>
      <w:bookmarkStart w:id="364" w:name="_Toc393700537"/>
      <w:r w:rsidRPr="00113309">
        <w:t>Коэффициенты одновременной загрузки пляжей для расчета численности единовременных посетителей на пляжах</w:t>
      </w:r>
      <w:bookmarkEnd w:id="363"/>
      <w:bookmarkEnd w:id="364"/>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65"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65"/>
    </w:p>
    <w:p w:rsidR="00437E9E" w:rsidRPr="00113309" w:rsidRDefault="00437E9E" w:rsidP="00B64CF6">
      <w:pPr>
        <w:pStyle w:val="2"/>
        <w:rPr>
          <w:lang w:val="en-US"/>
        </w:rPr>
      </w:pPr>
      <w:bookmarkStart w:id="366" w:name="_Toc393700539"/>
      <w:r w:rsidRPr="00113309">
        <w:t>Уровень жилищной обеспеченности</w:t>
      </w:r>
      <w:bookmarkEnd w:id="366"/>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67"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67"/>
      <w:r w:rsidR="00F335C1" w:rsidRPr="00113309">
        <w:t xml:space="preserve"> </w:t>
      </w:r>
    </w:p>
    <w:p w:rsidR="00D165FF" w:rsidRPr="00113309" w:rsidRDefault="00D165FF" w:rsidP="00B64CF6">
      <w:pPr>
        <w:pStyle w:val="2"/>
      </w:pPr>
      <w:bookmarkStart w:id="368" w:name="_Toc393700541"/>
      <w:r w:rsidRPr="00113309">
        <w:t>Объекты связи</w:t>
      </w:r>
      <w:bookmarkEnd w:id="368"/>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8"/>
          <w:footerReference w:type="default" r:id="rId39"/>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9" w:name="_Ref375751700"/>
      <w:r w:rsidRPr="00113309">
        <w:lastRenderedPageBreak/>
        <w:t xml:space="preserve">Таблица </w:t>
      </w:r>
      <w:bookmarkEnd w:id="369"/>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Березовский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5056</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5.89</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6040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4886</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5.56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6040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Саянский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1862</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2.168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2650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1879</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2182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2650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70" w:name="_Toc393700542"/>
      <w:r w:rsidRPr="00113309">
        <w:t>Инженерные сети</w:t>
      </w:r>
      <w:bookmarkEnd w:id="370"/>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40"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71" w:name="_Ref393704159"/>
      <w:r w:rsidRPr="00113309">
        <w:lastRenderedPageBreak/>
        <w:t xml:space="preserve">Таблица </w:t>
      </w:r>
      <w:bookmarkEnd w:id="371"/>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72" w:name="_Ref375751747"/>
      <w:r w:rsidRPr="00113309">
        <w:t xml:space="preserve">Таблица </w:t>
      </w:r>
      <w:bookmarkEnd w:id="372"/>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73" w:name="_Ref375751764"/>
      <w:r w:rsidRPr="00113309">
        <w:t xml:space="preserve">Таблица </w:t>
      </w:r>
      <w:bookmarkEnd w:id="373"/>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74" w:name="_Ref375751774"/>
      <w:r w:rsidRPr="00113309">
        <w:t xml:space="preserve">Таблица </w:t>
      </w:r>
      <w:bookmarkEnd w:id="374"/>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75" w:name="_Ref375751785"/>
      <w:r w:rsidRPr="00113309">
        <w:t xml:space="preserve">Таблица </w:t>
      </w:r>
      <w:bookmarkEnd w:id="375"/>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41"/>
          <w:footerReference w:type="default" r:id="rId42"/>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76"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76"/>
    </w:p>
    <w:p w:rsidR="00090EE7" w:rsidRPr="00113309" w:rsidRDefault="00090EE7" w:rsidP="003F7045">
      <w:pPr>
        <w:pStyle w:val="a6"/>
      </w:pPr>
      <w:bookmarkStart w:id="377" w:name="_Toc189037952"/>
      <w:r w:rsidRPr="00113309">
        <w:t>1. Общие требования к составу и содержанию генерального плана поселений</w:t>
      </w:r>
      <w:bookmarkEnd w:id="377"/>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8" w:name="_Toc343164843"/>
      <w:r w:rsidRPr="00113309">
        <w:t>3.1.10. Пояснительная записка материалов по обоснованию включает описание:</w:t>
      </w:r>
      <w:bookmarkEnd w:id="378"/>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3"/>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9AA" w:rsidRDefault="008D79AA">
      <w:r>
        <w:separator/>
      </w:r>
    </w:p>
    <w:p w:rsidR="008D79AA" w:rsidRDefault="008D79AA"/>
  </w:endnote>
  <w:endnote w:type="continuationSeparator" w:id="1">
    <w:p w:rsidR="008D79AA" w:rsidRDefault="008D79AA">
      <w:r>
        <w:continuationSeparator/>
      </w:r>
    </w:p>
    <w:p w:rsidR="008D79AA" w:rsidRDefault="008D79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A3BFF" w:rsidRPr="004A3BFF">
      <w:rPr>
        <w:rFonts w:ascii="Times New Roman" w:hAnsi="Times New Roman"/>
        <w:noProof/>
        <w:sz w:val="22"/>
        <w:szCs w:val="22"/>
        <w:lang w:val="de-DE"/>
      </w:rPr>
      <w:t>4</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A3BFF" w:rsidRPr="004A3BFF">
      <w:rPr>
        <w:rFonts w:ascii="Times New Roman" w:hAnsi="Times New Roman"/>
        <w:noProof/>
        <w:sz w:val="22"/>
        <w:szCs w:val="22"/>
        <w:lang w:val="de-DE"/>
      </w:rPr>
      <w:t>162</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4A3BFF" w:rsidRPr="004A3BFF">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9AA" w:rsidRDefault="008D79AA">
      <w:r>
        <w:separator/>
      </w:r>
    </w:p>
    <w:p w:rsidR="008D79AA" w:rsidRDefault="008D79AA"/>
  </w:footnote>
  <w:footnote w:type="continuationSeparator" w:id="1">
    <w:p w:rsidR="008D79AA" w:rsidRDefault="008D79AA">
      <w:r>
        <w:continuationSeparator/>
      </w:r>
    </w:p>
    <w:p w:rsidR="008D79AA" w:rsidRDefault="008D79AA"/>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3BFF"/>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9AA"/>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normacs://normacs.ru/1K3?dob=41306.000012&amp;dol=41368.627512"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A7B118A6B629FCA856E1A27402C3F8233886C26F6388B760B0D69BACBh2I" TargetMode="External"/><Relationship Id="rId34" Type="http://schemas.openxmlformats.org/officeDocument/2006/relationships/hyperlink" Target="consultantplus://offline/main?base=LAW;n=97924;fld=134;dst=100088"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normacs://normacs.ru/1K3?dob=41306.000012&amp;dol=41368.626053" TargetMode="External"/><Relationship Id="rId25" Type="http://schemas.openxmlformats.org/officeDocument/2006/relationships/footer" Target="footer2.xml"/><Relationship Id="rId33" Type="http://schemas.openxmlformats.org/officeDocument/2006/relationships/hyperlink" Target="consultantplus://offline/ref=2AD52C8AA9680871242E1CADA20B001AE59EC0C3B31B1273425DA4h47FI"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normacs://normacs.ru/1K3?dob=41306.000012&amp;dol=41368.627512" TargetMode="External"/><Relationship Id="rId29" Type="http://schemas.openxmlformats.org/officeDocument/2006/relationships/hyperlink" Target="consultantplus://offline/ref=17BFE5A3C1B66F5A327654A76BB034B07D7403A5124A23551593B7FD752F7A14C89F0C227260405Ci8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eader" Target="header1.xm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B738B15FA10B29BF3A3F6DA8AD710BB450108213D12ED6003EBC6B59F00F9E147068A088LEIEL" TargetMode="External"/><Relationship Id="rId40" Type="http://schemas.openxmlformats.org/officeDocument/2006/relationships/hyperlink" Target="consultantplus://offline/ref=565496BA5F81D8F9DADBAE6E440AF70E615F9C0207E7121B7DFDD7p4FB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AA7B118A6B629FCA856E1A27402C3F8233886127F7388B760B0D69BACBh2I" TargetMode="External"/><Relationship Id="rId28" Type="http://schemas.openxmlformats.org/officeDocument/2006/relationships/hyperlink" Target="consultantplus://offline/ref=17BFE5A3C1B66F5A327654A76BB034B07D7706A812467E5F1DCABBFF72202503CFD60023726041CA54i5M" TargetMode="External"/><Relationship Id="rId36" Type="http://schemas.openxmlformats.org/officeDocument/2006/relationships/hyperlink" Target="consultantplus://offline/ref=2AD52C8AA9680871242E1CADA20B001AE09FC3C2B31B1273425DA4h47F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normacs://normacs.ru/R8?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AA7B118A6B629FCA856E1A27402C3F8233886023F6388B760B0D69BACBh2I" TargetMode="External"/><Relationship Id="rId27" Type="http://schemas.openxmlformats.org/officeDocument/2006/relationships/hyperlink" Target="consultantplus://offline/ref=17BFE5A3C1B66F5A327654A76BB034B07D7403A5124A23551593B7FD752F7A14C89F0C227260475CiCM"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http://integral.ru/download/literatur/2.1.6.1032-01.pdf"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60139</Words>
  <Characters>342797</Characters>
  <Application>Microsoft Office Word</Application>
  <DocSecurity>0</DocSecurity>
  <Lines>2856</Lines>
  <Paragraphs>804</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402132</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2015-01-16T02:16:00Z</dcterms:created>
  <dcterms:modified xsi:type="dcterms:W3CDTF">2015-01-16T02:18:00Z</dcterms:modified>
</cp:coreProperties>
</file>